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022C4A" w:rsidRDefault="00F65AB0" w:rsidP="00A016F7">
      <w:pPr>
        <w:jc w:val="center"/>
        <w:rPr>
          <w:rFonts w:ascii="Times New Roman" w:hAnsi="Times New Roman" w:cs="Times New Roman"/>
          <w:b/>
          <w:color w:val="000000" w:themeColor="text1"/>
          <w:sz w:val="24"/>
          <w:szCs w:val="24"/>
        </w:rPr>
      </w:pPr>
      <w:r w:rsidRPr="00022C4A">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022C4A" w14:paraId="51335FA7" w14:textId="77777777" w:rsidTr="003B2769">
        <w:trPr>
          <w:trHeight w:val="1075"/>
        </w:trPr>
        <w:tc>
          <w:tcPr>
            <w:tcW w:w="3062" w:type="dxa"/>
          </w:tcPr>
          <w:p w14:paraId="386D6331" w14:textId="0158474A" w:rsidR="008B4488" w:rsidRPr="00022C4A" w:rsidRDefault="00F65AB0" w:rsidP="007B4727">
            <w:pPr>
              <w:rPr>
                <w:rFonts w:ascii="Times New Roman" w:hAnsi="Times New Roman" w:cs="Times New Roman"/>
                <w:b/>
                <w:bCs/>
                <w:color w:val="000000" w:themeColor="text1"/>
              </w:rPr>
            </w:pPr>
            <w:r w:rsidRPr="00022C4A">
              <w:rPr>
                <w:rFonts w:ascii="Times New Roman" w:hAnsi="Times New Roman" w:cs="Times New Roman"/>
                <w:b/>
                <w:bCs/>
                <w:color w:val="000000" w:themeColor="text1"/>
              </w:rPr>
              <w:t>Article Nu</w:t>
            </w:r>
            <w:r w:rsidR="00AF6633" w:rsidRPr="00022C4A">
              <w:rPr>
                <w:rFonts w:ascii="Times New Roman" w:hAnsi="Times New Roman" w:cs="Times New Roman"/>
                <w:b/>
                <w:bCs/>
                <w:color w:val="000000" w:themeColor="text1"/>
              </w:rPr>
              <w:t>mber:</w:t>
            </w:r>
            <w:r w:rsidR="00592E03" w:rsidRPr="00022C4A">
              <w:rPr>
                <w:rFonts w:ascii="Times New Roman" w:hAnsi="Times New Roman" w:cs="Times New Roman"/>
                <w:b/>
                <w:bCs/>
                <w:color w:val="000000" w:themeColor="text1"/>
              </w:rPr>
              <w:t xml:space="preserve"> </w:t>
            </w:r>
            <w:r w:rsidR="00022C4A" w:rsidRPr="00022C4A">
              <w:rPr>
                <w:rFonts w:ascii="Times New Roman" w:hAnsi="Times New Roman" w:cs="Times New Roman"/>
                <w:b/>
                <w:bCs/>
                <w:color w:val="000000" w:themeColor="text1"/>
              </w:rPr>
              <w:t>JBCG-2847</w:t>
            </w:r>
          </w:p>
          <w:p w14:paraId="3DEDC094" w14:textId="739DB0A4" w:rsidR="005D7FCF" w:rsidRPr="00022C4A" w:rsidRDefault="005D7FCF" w:rsidP="007B4727">
            <w:pPr>
              <w:rPr>
                <w:rFonts w:ascii="Times New Roman" w:hAnsi="Times New Roman" w:cs="Times New Roman"/>
                <w:color w:val="000000" w:themeColor="text1"/>
              </w:rPr>
            </w:pPr>
          </w:p>
        </w:tc>
        <w:tc>
          <w:tcPr>
            <w:tcW w:w="3600" w:type="dxa"/>
          </w:tcPr>
          <w:p w14:paraId="6E770AE1" w14:textId="3C8A2C4F" w:rsidR="005C59E4" w:rsidRPr="00022C4A"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022C4A">
              <w:rPr>
                <w:rFonts w:ascii="Times New Roman" w:hAnsi="Times New Roman" w:cs="Times New Roman"/>
                <w:b/>
                <w:bCs/>
                <w:color w:val="000000" w:themeColor="text1"/>
                <w:lang w:val="en-GB"/>
              </w:rPr>
              <w:t>Author Name:</w:t>
            </w:r>
            <w:r w:rsidR="00592E03" w:rsidRPr="00022C4A">
              <w:rPr>
                <w:rFonts w:ascii="Times New Roman" w:hAnsi="Times New Roman" w:cs="Times New Roman"/>
                <w:b/>
                <w:bCs/>
                <w:color w:val="000000" w:themeColor="text1"/>
                <w:lang w:val="en-GB"/>
              </w:rPr>
              <w:t xml:space="preserve"> </w:t>
            </w:r>
            <w:r w:rsidR="00022C4A" w:rsidRPr="00022C4A">
              <w:rPr>
                <w:rFonts w:ascii="Times New Roman" w:hAnsi="Times New Roman" w:cs="Times New Roman"/>
                <w:b/>
                <w:bCs/>
                <w:color w:val="000000" w:themeColor="text1"/>
                <w:lang w:val="en-GB"/>
              </w:rPr>
              <w:t>V N Stegniy</w:t>
            </w:r>
          </w:p>
          <w:p w14:paraId="7323098C" w14:textId="77777777" w:rsidR="00751219" w:rsidRPr="00022C4A"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022C4A"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022C4A" w:rsidRDefault="008B4488" w:rsidP="007B4727">
            <w:pPr>
              <w:rPr>
                <w:rFonts w:ascii="Times New Roman" w:hAnsi="Times New Roman" w:cs="Times New Roman"/>
                <w:color w:val="000000" w:themeColor="text1"/>
              </w:rPr>
            </w:pPr>
          </w:p>
        </w:tc>
      </w:tr>
      <w:tr w:rsidR="007B4727" w:rsidRPr="00022C4A" w14:paraId="1E818F0A" w14:textId="77777777" w:rsidTr="007B4727">
        <w:trPr>
          <w:trHeight w:val="413"/>
        </w:trPr>
        <w:tc>
          <w:tcPr>
            <w:tcW w:w="3062" w:type="dxa"/>
          </w:tcPr>
          <w:p w14:paraId="3AE97BDC" w14:textId="72BA1DE9" w:rsidR="008B4488" w:rsidRPr="00022C4A" w:rsidRDefault="00AF6633" w:rsidP="00FA0A35">
            <w:pPr>
              <w:ind w:left="360"/>
              <w:rPr>
                <w:rFonts w:ascii="Times New Roman" w:hAnsi="Times New Roman" w:cs="Times New Roman"/>
                <w:color w:val="000000" w:themeColor="text1"/>
              </w:rPr>
            </w:pPr>
            <w:r w:rsidRPr="00022C4A">
              <w:rPr>
                <w:rFonts w:ascii="Times New Roman" w:hAnsi="Times New Roman" w:cs="Times New Roman"/>
                <w:color w:val="000000" w:themeColor="text1"/>
              </w:rPr>
              <w:t>Accept: 1</w:t>
            </w:r>
            <w:r w:rsidR="005A7ACE" w:rsidRPr="00022C4A">
              <w:rPr>
                <w:rFonts w:ascii="Times New Roman" w:hAnsi="Times New Roman" w:cs="Times New Roman"/>
                <w:color w:val="000000" w:themeColor="text1"/>
              </w:rPr>
              <w:t xml:space="preserve"> Accepted </w:t>
            </w:r>
          </w:p>
        </w:tc>
        <w:tc>
          <w:tcPr>
            <w:tcW w:w="3600" w:type="dxa"/>
          </w:tcPr>
          <w:p w14:paraId="2A4179DF" w14:textId="3707CEA3" w:rsidR="008B4488" w:rsidRPr="00022C4A" w:rsidRDefault="00AF6633" w:rsidP="00AB707D">
            <w:pPr>
              <w:pStyle w:val="ListParagraph"/>
              <w:numPr>
                <w:ilvl w:val="0"/>
                <w:numId w:val="5"/>
              </w:numPr>
              <w:rPr>
                <w:rFonts w:ascii="Times New Roman" w:hAnsi="Times New Roman" w:cs="Times New Roman"/>
                <w:b/>
                <w:color w:val="000000" w:themeColor="text1"/>
              </w:rPr>
            </w:pPr>
            <w:r w:rsidRPr="00022C4A">
              <w:rPr>
                <w:rFonts w:ascii="Times New Roman" w:hAnsi="Times New Roman" w:cs="Times New Roman"/>
                <w:b/>
                <w:color w:val="000000" w:themeColor="text1"/>
              </w:rPr>
              <w:t>Minor Revision: 2</w:t>
            </w:r>
          </w:p>
        </w:tc>
        <w:tc>
          <w:tcPr>
            <w:tcW w:w="3510" w:type="dxa"/>
          </w:tcPr>
          <w:p w14:paraId="2CED1669" w14:textId="77777777" w:rsidR="008B4488" w:rsidRPr="00022C4A" w:rsidRDefault="00AF6633" w:rsidP="00255E47">
            <w:pPr>
              <w:jc w:val="center"/>
              <w:rPr>
                <w:rFonts w:ascii="Times New Roman" w:hAnsi="Times New Roman" w:cs="Times New Roman"/>
                <w:color w:val="000000" w:themeColor="text1"/>
              </w:rPr>
            </w:pPr>
            <w:r w:rsidRPr="00022C4A">
              <w:rPr>
                <w:rFonts w:ascii="Times New Roman" w:hAnsi="Times New Roman" w:cs="Times New Roman"/>
                <w:color w:val="000000" w:themeColor="text1"/>
              </w:rPr>
              <w:t>Major Revision: 3</w:t>
            </w:r>
          </w:p>
        </w:tc>
      </w:tr>
      <w:tr w:rsidR="007B4727" w:rsidRPr="00022C4A" w14:paraId="12B3DCF4" w14:textId="77777777" w:rsidTr="003B2769">
        <w:trPr>
          <w:trHeight w:val="440"/>
        </w:trPr>
        <w:tc>
          <w:tcPr>
            <w:tcW w:w="3062" w:type="dxa"/>
          </w:tcPr>
          <w:p w14:paraId="6B5944C0" w14:textId="2C73A727" w:rsidR="00AF6633" w:rsidRPr="00022C4A" w:rsidRDefault="00FA0A35" w:rsidP="00FA0A35">
            <w:pPr>
              <w:rPr>
                <w:rFonts w:ascii="Times New Roman" w:hAnsi="Times New Roman" w:cs="Times New Roman"/>
                <w:color w:val="000000" w:themeColor="text1"/>
              </w:rPr>
            </w:pPr>
            <w:r w:rsidRPr="00022C4A">
              <w:rPr>
                <w:rFonts w:ascii="Times New Roman" w:hAnsi="Times New Roman" w:cs="Times New Roman"/>
                <w:color w:val="000000" w:themeColor="text1"/>
              </w:rPr>
              <w:t xml:space="preserve">       </w:t>
            </w:r>
            <w:r w:rsidR="00AF6633" w:rsidRPr="00022C4A">
              <w:rPr>
                <w:rFonts w:ascii="Times New Roman" w:hAnsi="Times New Roman" w:cs="Times New Roman"/>
                <w:color w:val="000000" w:themeColor="text1"/>
              </w:rPr>
              <w:t>Reject: 4</w:t>
            </w:r>
          </w:p>
        </w:tc>
        <w:tc>
          <w:tcPr>
            <w:tcW w:w="3600" w:type="dxa"/>
          </w:tcPr>
          <w:p w14:paraId="5AAF7CF3" w14:textId="40029F47" w:rsidR="00AF6633" w:rsidRPr="00022C4A" w:rsidRDefault="00AF6633" w:rsidP="00255E47">
            <w:pPr>
              <w:jc w:val="center"/>
              <w:rPr>
                <w:rFonts w:ascii="Times New Roman" w:hAnsi="Times New Roman" w:cs="Times New Roman"/>
                <w:color w:val="000000" w:themeColor="text1"/>
              </w:rPr>
            </w:pPr>
            <w:r w:rsidRPr="00022C4A">
              <w:rPr>
                <w:rFonts w:ascii="Times New Roman" w:hAnsi="Times New Roman" w:cs="Times New Roman"/>
                <w:color w:val="000000" w:themeColor="text1"/>
              </w:rPr>
              <w:t>Re-revision: 5</w:t>
            </w:r>
          </w:p>
        </w:tc>
        <w:tc>
          <w:tcPr>
            <w:tcW w:w="3510" w:type="dxa"/>
          </w:tcPr>
          <w:p w14:paraId="19595238" w14:textId="77777777" w:rsidR="00AF6633" w:rsidRPr="00022C4A" w:rsidRDefault="00AF6633" w:rsidP="00255E47">
            <w:pPr>
              <w:jc w:val="center"/>
              <w:rPr>
                <w:rFonts w:ascii="Times New Roman" w:hAnsi="Times New Roman" w:cs="Times New Roman"/>
                <w:color w:val="000000" w:themeColor="text1"/>
              </w:rPr>
            </w:pPr>
            <w:r w:rsidRPr="00022C4A">
              <w:rPr>
                <w:rFonts w:ascii="Times New Roman" w:hAnsi="Times New Roman" w:cs="Times New Roman"/>
                <w:color w:val="000000" w:themeColor="text1"/>
              </w:rPr>
              <w:t>Poor Quality: 6</w:t>
            </w:r>
          </w:p>
        </w:tc>
      </w:tr>
      <w:tr w:rsidR="007B4727" w:rsidRPr="00022C4A" w14:paraId="1EE1E661" w14:textId="77777777" w:rsidTr="00A016F7">
        <w:trPr>
          <w:trHeight w:val="9352"/>
        </w:trPr>
        <w:tc>
          <w:tcPr>
            <w:tcW w:w="10172" w:type="dxa"/>
            <w:gridSpan w:val="3"/>
          </w:tcPr>
          <w:p w14:paraId="356F0A33" w14:textId="57FAE298" w:rsidR="00E9204E" w:rsidRPr="00022C4A"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sidRPr="00022C4A">
              <w:rPr>
                <w:rFonts w:ascii="Times New Roman" w:eastAsia="Times New Roman" w:hAnsi="Times New Roman" w:cs="Times New Roman"/>
                <w:b/>
                <w:bCs/>
                <w:color w:val="000000"/>
                <w:sz w:val="30"/>
                <w:szCs w:val="30"/>
                <w:shd w:val="clear" w:color="auto" w:fill="FFFFFF"/>
                <w:lang w:val="en-IN" w:eastAsia="en-IN"/>
              </w:rPr>
              <w:t xml:space="preserve">Title: </w:t>
            </w:r>
            <w:r w:rsidR="00022C4A" w:rsidRPr="00022C4A">
              <w:rPr>
                <w:rFonts w:ascii="Times New Roman" w:eastAsia="Times New Roman" w:hAnsi="Times New Roman" w:cs="Times New Roman"/>
                <w:b/>
                <w:bCs/>
                <w:color w:val="000000"/>
                <w:sz w:val="30"/>
                <w:szCs w:val="30"/>
                <w:shd w:val="clear" w:color="auto" w:fill="FFFFFF"/>
                <w:lang w:val="en-IN" w:eastAsia="en-IN"/>
              </w:rPr>
              <w:t>“Emergent Evolution” but without mysticism! (richard goldschmidt) systemic mutations and saltatory speciation</w:t>
            </w:r>
          </w:p>
          <w:p w14:paraId="2E3C5DEE" w14:textId="4ED3D548" w:rsidR="00F669EE" w:rsidRPr="00022C4A"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22C4A">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022C4A">
              <w:rPr>
                <w:rFonts w:ascii="Times New Roman" w:eastAsia="Times New Roman" w:hAnsi="Times New Roman" w:cs="Times New Roman"/>
                <w:b/>
                <w:bCs/>
                <w:color w:val="000000"/>
                <w:sz w:val="24"/>
                <w:szCs w:val="24"/>
                <w:shd w:val="clear" w:color="auto" w:fill="FFFFFF"/>
                <w:lang w:val="en-IN" w:eastAsia="en-IN"/>
              </w:rPr>
              <w:t xml:space="preserve">: </w:t>
            </w:r>
            <w:r w:rsidR="00022C4A" w:rsidRPr="00022C4A">
              <w:rPr>
                <w:rFonts w:ascii="Times New Roman" w:eastAsia="Times New Roman" w:hAnsi="Times New Roman" w:cs="Times New Roman"/>
                <w:b/>
                <w:bCs/>
                <w:color w:val="000000"/>
                <w:sz w:val="24"/>
                <w:szCs w:val="24"/>
                <w:shd w:val="clear" w:color="auto" w:fill="FFFFFF"/>
                <w:lang w:val="en-IN" w:eastAsia="en-IN"/>
              </w:rPr>
              <w:t>Journal of Bioinformatics and Comparative Genomics</w:t>
            </w:r>
          </w:p>
          <w:p w14:paraId="2FAA12DC" w14:textId="4E20CA26" w:rsidR="00022C4A" w:rsidRPr="00022C4A" w:rsidRDefault="00022C4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22C4A">
              <w:rPr>
                <w:rFonts w:ascii="Times New Roman" w:eastAsia="Times New Roman" w:hAnsi="Times New Roman" w:cs="Times New Roman"/>
                <w:b/>
                <w:bCs/>
                <w:color w:val="000000"/>
                <w:sz w:val="24"/>
                <w:szCs w:val="24"/>
                <w:shd w:val="clear" w:color="auto" w:fill="FFFFFF"/>
                <w:lang w:val="en-IN" w:eastAsia="en-IN"/>
              </w:rPr>
              <w:t xml:space="preserve">General Comments: </w:t>
            </w:r>
          </w:p>
          <w:p w14:paraId="727EDA77" w14:textId="2CE3B7EB" w:rsidR="00592E03" w:rsidRPr="00022C4A" w:rsidRDefault="00022C4A" w:rsidP="00E9204E">
            <w:pPr>
              <w:spacing w:line="360" w:lineRule="auto"/>
              <w:jc w:val="both"/>
              <w:rPr>
                <w:rFonts w:ascii="Times New Roman" w:hAnsi="Times New Roman" w:cs="Times New Roman"/>
              </w:rPr>
            </w:pPr>
            <w:r w:rsidRPr="00022C4A">
              <w:rPr>
                <w:rFonts w:ascii="Times New Roman" w:hAnsi="Times New Roman" w:cs="Times New Roman"/>
              </w:rPr>
              <w:t xml:space="preserve">1. </w:t>
            </w:r>
            <w:r w:rsidRPr="00022C4A">
              <w:rPr>
                <w:rFonts w:ascii="Times New Roman" w:hAnsi="Times New Roman" w:cs="Times New Roman"/>
              </w:rPr>
              <w:t xml:space="preserve">The paper entitled “Emergent evolution” but without mysticism! (Richard Goldschmidt) Systemic mutations and saltatory speciation presents a comprehensive review and discussion of the over 50-ty years world research on Richard Goldschmidt's concept of the systemic mutations role in salutatory transformation of genomes in the course of species evolution. On this canvas the author summarizes his the most important findings regarding the three dimensional organization of chromosomes in germline cells, which led him to indicate considerable differences themselves between different closely related species. He also formulates four main characteristics manifesting the specificity of species, i.e. (1) the relative localization and contact of the chromosome and the nuclear envelope; (2) The morphology of the chromosome attachment sites; (3) Separate sites of homeologous chromosomes on the nuclear envelope; (4) The presence or absence of the local or diffuse chromocenter. Moreover, the author outlines the three-stage scenarios of microevolution and speciation i.e. Stage I. Formation of the ecologically marginal conditions for a species; Stage II. The reorganization of the hormonal system of organisms and structure function destabilization of the genome of the generative (reproductive) system, including chromatin rearrangement and the appearance - disappearance of chromosome–membrane interactions, and MGE activation. Stage III. Emergence of adaptive genetic polymorphism for newly emerging gene and chromosomal mutations or speciation at the expense of emerging genomic or systemic mutations. Major remarks. It should be stressed, that archaic for someone biologists the idea of Richard Goldschmidt of large systemic mutations causing speciation is sometimes objectionable. Among others, the main reason for this is that as it being in its basis a holistic concept, it may be considered independently from the favored genetic atomistic concepts of evolution, e.g. frozen accident theory (1968) or newer, the smooth evolution theory of the universal genetic code (2019). On </w:t>
            </w:r>
            <w:r w:rsidRPr="00022C4A">
              <w:rPr>
                <w:rFonts w:ascii="Times New Roman" w:hAnsi="Times New Roman" w:cs="Times New Roman"/>
              </w:rPr>
              <w:lastRenderedPageBreak/>
              <w:t xml:space="preserve">the other hand only by combining the holistic and atomistic approach we may come closer to understanding the phenomenon in the mezoscopic arena. The author should consider a short discussion of the evolution of 3- dimensional reorganization of chromosomes as a possible manifestation of allometric evolution as a such. Can we think about allometric scaling (power law)? Also in the discussion, some kinetic or bioinformatic model of saltatory evolution could be suggested. Crick, F.H., (1968) The origin of the genetic code. J Mol Biol 38, 367-79 Pawłowski P.H. (2019) The smooth evolution of the universal genetic code Main episodes. Int J Sci 09:28– 51. https://doi.org/10.18483/ijSci.2180 Conclusion Very good paper, presented arguments seem reasonable. I have a pleasure to recommend it for publishing in JBCG after small correction. Minor remarks. l. 47 phenome non? l.273 MGE - abr., definition, mobile genetic element? </w:t>
            </w:r>
          </w:p>
          <w:p w14:paraId="2A264A16" w14:textId="77777777" w:rsidR="00022C4A" w:rsidRDefault="00022C4A" w:rsidP="00022C4A">
            <w:pPr>
              <w:spacing w:line="360" w:lineRule="auto"/>
              <w:jc w:val="both"/>
              <w:rPr>
                <w:rFonts w:ascii="Times New Roman" w:hAnsi="Times New Roman" w:cs="Times New Roman"/>
              </w:rPr>
            </w:pPr>
            <w:r w:rsidRPr="00022C4A">
              <w:rPr>
                <w:rFonts w:ascii="Times New Roman" w:hAnsi="Times New Roman" w:cs="Times New Roman"/>
                <w:b/>
              </w:rPr>
              <w:t>2.</w:t>
            </w:r>
            <w:r w:rsidRPr="00022C4A">
              <w:rPr>
                <w:rFonts w:ascii="Times New Roman" w:hAnsi="Times New Roman" w:cs="Times New Roman"/>
              </w:rPr>
              <w:t xml:space="preserve"> </w:t>
            </w:r>
            <w:r w:rsidRPr="00022C4A">
              <w:rPr>
                <w:rFonts w:ascii="Times New Roman" w:hAnsi="Times New Roman" w:cs="Times New Roman"/>
              </w:rPr>
              <w:t xml:space="preserve"> Is the result r</w:t>
            </w:r>
            <w:r>
              <w:rPr>
                <w:rFonts w:ascii="Times New Roman" w:hAnsi="Times New Roman" w:cs="Times New Roman"/>
              </w:rPr>
              <w:t>eported in the manuscript new?</w:t>
            </w:r>
            <w:r w:rsidRPr="00022C4A">
              <w:rPr>
                <w:rFonts w:ascii="Times New Roman" w:hAnsi="Times New Roman" w:cs="Times New Roman"/>
              </w:rPr>
              <w:t xml:space="preserve"> Is there a direct contradiction of the main clai</w:t>
            </w:r>
            <w:r>
              <w:rPr>
                <w:rFonts w:ascii="Times New Roman" w:hAnsi="Times New Roman" w:cs="Times New Roman"/>
              </w:rPr>
              <w:t>ms of the work with previous ex</w:t>
            </w:r>
            <w:r w:rsidRPr="00022C4A">
              <w:rPr>
                <w:rFonts w:ascii="Times New Roman" w:hAnsi="Times New Roman" w:cs="Times New Roman"/>
              </w:rPr>
              <w:t>perime</w:t>
            </w:r>
            <w:r>
              <w:rPr>
                <w:rFonts w:ascii="Times New Roman" w:hAnsi="Times New Roman" w:cs="Times New Roman"/>
              </w:rPr>
              <w:t xml:space="preserve">ntal results of other authors? </w:t>
            </w:r>
            <w:r w:rsidRPr="00022C4A">
              <w:rPr>
                <w:rFonts w:ascii="Times New Roman" w:hAnsi="Times New Roman" w:cs="Times New Roman"/>
              </w:rPr>
              <w:t xml:space="preserve">Are there mathematical or/and methodological errors in the work that render the study invalid? Question It is difficult for me to answer Question 2 with high certainty. However, according to my familiarity with the literature on theoretical problems of evolution and on genomic architecture, the results and hypothesis of the author are highly original and far from the mainstream. Therefore, there are very few, if any, experiments that are designed to probe the validity of the author’s claims, ideas, and conclusions. I do not personally know any clearly contradicting independent experiments. A possible overlap may exist with the currently mainstream direction of so called chromosome territories, </w:t>
            </w:r>
          </w:p>
          <w:p w14:paraId="25428A50" w14:textId="2EE350F6" w:rsidR="00022C4A" w:rsidRDefault="00022C4A" w:rsidP="00022C4A">
            <w:pPr>
              <w:spacing w:line="360" w:lineRule="auto"/>
              <w:jc w:val="both"/>
              <w:rPr>
                <w:rFonts w:ascii="Times New Roman" w:hAnsi="Times New Roman" w:cs="Times New Roman"/>
              </w:rPr>
            </w:pPr>
            <w:r w:rsidRPr="00022C4A">
              <w:rPr>
                <w:rFonts w:ascii="Times New Roman" w:hAnsi="Times New Roman" w:cs="Times New Roman"/>
              </w:rPr>
              <w:t>Question 1 in contrast must be unequivocally answ</w:t>
            </w:r>
            <w:r>
              <w:rPr>
                <w:rFonts w:ascii="Times New Roman" w:hAnsi="Times New Roman" w:cs="Times New Roman"/>
              </w:rPr>
              <w:t xml:space="preserve">ered negatively. </w:t>
            </w:r>
            <w:r w:rsidRPr="00022C4A">
              <w:rPr>
                <w:rFonts w:ascii="Times New Roman" w:hAnsi="Times New Roman" w:cs="Times New Roman"/>
              </w:rPr>
              <w:t>except the idea of the link between the systemic mutations sensu Stegniy and lamina, topoisomerase II, and D</w:t>
            </w:r>
            <w:bookmarkStart w:id="0" w:name="_GoBack"/>
            <w:bookmarkEnd w:id="0"/>
            <w:r w:rsidRPr="00022C4A">
              <w:rPr>
                <w:rFonts w:ascii="Times New Roman" w:hAnsi="Times New Roman" w:cs="Times New Roman"/>
              </w:rPr>
              <w:t>NA poplypurine tracts; and in (Stegniy 2017a), which has a large overlap with the current manuscript, too, and in addition contains the claims about lamin</w:t>
            </w:r>
            <w:r>
              <w:rPr>
                <w:rFonts w:ascii="Times New Roman" w:hAnsi="Times New Roman" w:cs="Times New Roman"/>
              </w:rPr>
              <w:t>a.</w:t>
            </w:r>
            <w:r w:rsidRPr="00022C4A">
              <w:rPr>
                <w:rFonts w:ascii="Times New Roman" w:hAnsi="Times New Roman" w:cs="Times New Roman"/>
              </w:rPr>
              <w:t xml:space="preserve"> </w:t>
            </w:r>
          </w:p>
          <w:p w14:paraId="387941E6" w14:textId="785EDB81" w:rsidR="00022C4A" w:rsidRPr="00022C4A" w:rsidRDefault="00022C4A" w:rsidP="00022C4A">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022C4A" w:rsidRDefault="008B4488" w:rsidP="00A016F7">
      <w:pPr>
        <w:rPr>
          <w:rFonts w:ascii="Times New Roman" w:hAnsi="Times New Roman" w:cs="Times New Roman"/>
          <w:color w:val="000000" w:themeColor="text1"/>
          <w:sz w:val="24"/>
          <w:szCs w:val="24"/>
        </w:rPr>
      </w:pPr>
    </w:p>
    <w:sectPr w:rsidR="008B4488" w:rsidRPr="00022C4A"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D9D6D" w14:textId="77777777" w:rsidR="003C4B29" w:rsidRDefault="003C4B29" w:rsidP="00F65AB0">
      <w:pPr>
        <w:spacing w:after="0" w:line="240" w:lineRule="auto"/>
      </w:pPr>
      <w:r>
        <w:separator/>
      </w:r>
    </w:p>
  </w:endnote>
  <w:endnote w:type="continuationSeparator" w:id="0">
    <w:p w14:paraId="3637B738" w14:textId="77777777" w:rsidR="003C4B29" w:rsidRDefault="003C4B29"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0C890" w14:textId="77777777" w:rsidR="003C4B29" w:rsidRDefault="003C4B29" w:rsidP="00F65AB0">
      <w:pPr>
        <w:spacing w:after="0" w:line="240" w:lineRule="auto"/>
      </w:pPr>
      <w:r>
        <w:separator/>
      </w:r>
    </w:p>
  </w:footnote>
  <w:footnote w:type="continuationSeparator" w:id="0">
    <w:p w14:paraId="02BC53D1" w14:textId="77777777" w:rsidR="003C4B29" w:rsidRDefault="003C4B29"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2C4A"/>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4B29"/>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2022-05-20T04:58:00Z</dcterms:modified>
</cp:coreProperties>
</file>